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标准征求意见稿意见汇总处理表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1308"/>
        <w:gridCol w:w="2166"/>
        <w:gridCol w:w="1410"/>
        <w:gridCol w:w="30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序号</w:t>
            </w:r>
          </w:p>
        </w:tc>
        <w:tc>
          <w:tcPr>
            <w:tcW w:w="1308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标准章条编号</w:t>
            </w:r>
          </w:p>
        </w:tc>
        <w:tc>
          <w:tcPr>
            <w:tcW w:w="2166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意见内容</w:t>
            </w:r>
          </w:p>
        </w:tc>
        <w:tc>
          <w:tcPr>
            <w:tcW w:w="141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提出单位</w:t>
            </w:r>
          </w:p>
        </w:tc>
        <w:tc>
          <w:tcPr>
            <w:tcW w:w="3077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处理意见及理由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3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文件名称</w:t>
            </w:r>
          </w:p>
        </w:tc>
        <w:tc>
          <w:tcPr>
            <w:tcW w:w="216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只有中文名称，应加上英文描述</w:t>
            </w:r>
          </w:p>
        </w:tc>
        <w:tc>
          <w:tcPr>
            <w:tcW w:w="141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077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308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标题</w:t>
            </w:r>
          </w:p>
        </w:tc>
        <w:tc>
          <w:tcPr>
            <w:tcW w:w="216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椰油酰胺</w:t>
            </w:r>
            <w:r>
              <w:rPr>
                <w:rFonts w:hint="eastAsia"/>
                <w:vertAlign w:val="baseline"/>
                <w:lang w:val="en-US" w:eastAsia="zh-CN"/>
              </w:rPr>
              <w:t>MEA中英文混用，应规范</w:t>
            </w:r>
          </w:p>
        </w:tc>
        <w:tc>
          <w:tcPr>
            <w:tcW w:w="141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07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不采纳，该名称是直接采用化妆品原料目录中的名称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308" w:type="dxa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前言</w:t>
            </w:r>
          </w:p>
        </w:tc>
        <w:tc>
          <w:tcPr>
            <w:tcW w:w="2166" w:type="dxa"/>
            <w:vAlign w:val="top"/>
          </w:tcPr>
          <w:p>
            <w:pPr>
              <w:ind w:firstLine="210" w:firstLineChars="10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1) “本文件按照GB/T 1.1-2020给出的规则起草。”修改为“本文件按照GB/T 1.1-2020《标准化工作导则  第1部分：标准化文件的</w:t>
            </w:r>
            <w:r>
              <w:rPr>
                <w:rFonts w:hint="eastAsia" w:ascii="宋体" w:hAnsi="宋体"/>
                <w:szCs w:val="21"/>
                <w:lang w:eastAsia="zh-CN"/>
              </w:rPr>
              <w:t>结构</w:t>
            </w:r>
            <w:r>
              <w:rPr>
                <w:rFonts w:ascii="宋体" w:hAnsi="宋体"/>
                <w:szCs w:val="21"/>
              </w:rPr>
              <w:t>和起草规则》的规定起草。”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Ansi="宋体" w:cs="Times New Roman"/>
                <w:sz w:val="21"/>
              </w:rPr>
              <w:t>2) 在文件的提出信息前增加内容：“请注意本文件的某些内容可能涉及专利，本文件的发布机构不承担识别这些专利的责任。”</w:t>
            </w:r>
          </w:p>
        </w:tc>
        <w:tc>
          <w:tcPr>
            <w:tcW w:w="141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纳爱斯集团有限公司</w:t>
            </w:r>
          </w:p>
        </w:tc>
        <w:tc>
          <w:tcPr>
            <w:tcW w:w="3077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308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166" w:type="dxa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Ansi="宋体"/>
                <w:szCs w:val="21"/>
              </w:rPr>
              <w:t>“椰油酰胺MEA的</w:t>
            </w:r>
            <w:r>
              <w:rPr>
                <w:rFonts w:hAnsi="宋体"/>
                <w:b/>
                <w:szCs w:val="21"/>
              </w:rPr>
              <w:t>分子式</w:t>
            </w:r>
            <w:r>
              <w:rPr>
                <w:rFonts w:hAnsi="宋体"/>
                <w:szCs w:val="21"/>
              </w:rPr>
              <w:t>为：RCONHCH</w:t>
            </w:r>
            <w:r>
              <w:rPr>
                <w:rFonts w:hAnsi="宋体"/>
                <w:szCs w:val="21"/>
                <w:vertAlign w:val="subscript"/>
              </w:rPr>
              <w:t>2</w:t>
            </w:r>
            <w:r>
              <w:rPr>
                <w:rFonts w:hAnsi="宋体"/>
                <w:szCs w:val="21"/>
              </w:rPr>
              <w:t>CH</w:t>
            </w:r>
            <w:r>
              <w:rPr>
                <w:rFonts w:hAnsi="宋体"/>
                <w:szCs w:val="21"/>
                <w:vertAlign w:val="subscript"/>
              </w:rPr>
              <w:t>2</w:t>
            </w:r>
            <w:r>
              <w:rPr>
                <w:rFonts w:hAnsi="宋体"/>
                <w:szCs w:val="21"/>
              </w:rPr>
              <w:t>OH”建议修改为“椰油酰胺MEA的</w:t>
            </w:r>
            <w:r>
              <w:rPr>
                <w:rFonts w:hAnsi="宋体"/>
                <w:b/>
                <w:szCs w:val="21"/>
              </w:rPr>
              <w:t>化学结构简式</w:t>
            </w:r>
            <w:r>
              <w:rPr>
                <w:rFonts w:hAnsi="宋体"/>
                <w:szCs w:val="21"/>
              </w:rPr>
              <w:t>为：RCONHCH</w:t>
            </w:r>
            <w:r>
              <w:rPr>
                <w:rFonts w:hAnsi="宋体"/>
                <w:szCs w:val="21"/>
                <w:vertAlign w:val="subscript"/>
              </w:rPr>
              <w:t>2</w:t>
            </w:r>
            <w:r>
              <w:rPr>
                <w:rFonts w:hAnsi="宋体"/>
                <w:szCs w:val="21"/>
              </w:rPr>
              <w:t>CH</w:t>
            </w:r>
            <w:r>
              <w:rPr>
                <w:rFonts w:hAnsi="宋体"/>
                <w:szCs w:val="21"/>
                <w:vertAlign w:val="subscript"/>
              </w:rPr>
              <w:t>2</w:t>
            </w:r>
            <w:r>
              <w:rPr>
                <w:rFonts w:hAnsi="宋体"/>
                <w:szCs w:val="21"/>
              </w:rPr>
              <w:t>OH”</w:t>
            </w:r>
          </w:p>
        </w:tc>
        <w:tc>
          <w:tcPr>
            <w:tcW w:w="141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纳爱斯集团有限公司</w:t>
            </w:r>
          </w:p>
        </w:tc>
        <w:tc>
          <w:tcPr>
            <w:tcW w:w="3077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1308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166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第二段，第三段段前缺空格</w:t>
            </w:r>
          </w:p>
        </w:tc>
        <w:tc>
          <w:tcPr>
            <w:tcW w:w="141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北京金鱼</w:t>
            </w:r>
            <w:r>
              <w:rPr>
                <w:rFonts w:hint="eastAsia" w:ascii="宋体" w:hAnsi="宋体"/>
                <w:bCs/>
                <w:sz w:val="22"/>
              </w:rPr>
              <w:t>科技有限责任公司</w:t>
            </w:r>
          </w:p>
        </w:tc>
        <w:tc>
          <w:tcPr>
            <w:tcW w:w="3077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308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16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分子式编写不规范，</w:t>
            </w:r>
            <w:r>
              <w:rPr>
                <w:rFonts w:hint="eastAsia"/>
                <w:vertAlign w:val="baseline"/>
                <w:lang w:val="en-US" w:eastAsia="zh-CN"/>
              </w:rPr>
              <w:t>R</w:t>
            </w:r>
            <w:r>
              <w:rPr>
                <w:rFonts w:hint="eastAsia"/>
                <w:vertAlign w:val="baseline"/>
                <w:lang w:eastAsia="zh-CN"/>
              </w:rPr>
              <w:t>椰油基重新确认</w:t>
            </w:r>
          </w:p>
        </w:tc>
        <w:tc>
          <w:tcPr>
            <w:tcW w:w="141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北京金鱼</w:t>
            </w:r>
            <w:r>
              <w:rPr>
                <w:rFonts w:hint="eastAsia" w:ascii="宋体" w:hAnsi="宋体"/>
                <w:bCs/>
                <w:sz w:val="22"/>
              </w:rPr>
              <w:t>科技有限责任公司</w:t>
            </w:r>
          </w:p>
        </w:tc>
        <w:tc>
          <w:tcPr>
            <w:tcW w:w="3077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1308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166" w:type="dxa"/>
            <w:vAlign w:val="top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hAnsi="宋体"/>
              </w:rPr>
              <w:t>“</w:t>
            </w:r>
            <w:r>
              <w:rPr>
                <w:rFonts w:hAnsi="宋体"/>
              </w:rPr>
              <w:t>…</w:t>
            </w:r>
            <w:r>
              <w:rPr>
                <w:rFonts w:hint="eastAsia" w:hAnsi="宋体"/>
              </w:rPr>
              <w:t>仅该日期对应的版本适用于本文件。</w:t>
            </w:r>
            <w:r>
              <w:rPr>
                <w:rFonts w:hAnsi="宋体"/>
              </w:rPr>
              <w:t>…</w:t>
            </w:r>
            <w:r>
              <w:rPr>
                <w:rFonts w:hint="eastAsia" w:hAnsi="宋体"/>
              </w:rPr>
              <w:t>”中的句号更改为分号。</w:t>
            </w:r>
          </w:p>
        </w:tc>
        <w:tc>
          <w:tcPr>
            <w:tcW w:w="141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纳爱斯集团有限公司</w:t>
            </w:r>
          </w:p>
        </w:tc>
        <w:tc>
          <w:tcPr>
            <w:tcW w:w="3077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1308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 表1</w:t>
            </w:r>
          </w:p>
        </w:tc>
        <w:tc>
          <w:tcPr>
            <w:tcW w:w="216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pH值范围“8.0-11.0”改为“8.0-10.0”</w:t>
            </w:r>
          </w:p>
        </w:tc>
        <w:tc>
          <w:tcPr>
            <w:tcW w:w="141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广州星业科技</w:t>
            </w:r>
            <w:r>
              <w:rPr>
                <w:rFonts w:hint="eastAsia"/>
              </w:rPr>
              <w:t>股份有限公司</w:t>
            </w:r>
          </w:p>
        </w:tc>
        <w:tc>
          <w:tcPr>
            <w:tcW w:w="307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不采纳，根据行业上样品检测数据及使用客户的指标要求有超过</w:t>
            </w:r>
            <w:r>
              <w:rPr>
                <w:rFonts w:hint="eastAsia"/>
                <w:vertAlign w:val="baseline"/>
                <w:lang w:val="en-US" w:eastAsia="zh-CN"/>
              </w:rPr>
              <w:t>10的。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1308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 表1</w:t>
            </w:r>
          </w:p>
        </w:tc>
        <w:tc>
          <w:tcPr>
            <w:tcW w:w="2166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CMEA-B型</w:t>
            </w:r>
            <w:r>
              <w:rPr>
                <w:rFonts w:hint="eastAsia"/>
                <w:vertAlign w:val="baseline"/>
                <w:lang w:eastAsia="zh-CN"/>
              </w:rPr>
              <w:t>胺值范围“≤</w:t>
            </w:r>
            <w:r>
              <w:rPr>
                <w:rFonts w:hint="eastAsia"/>
                <w:vertAlign w:val="baseline"/>
                <w:lang w:val="en-US" w:eastAsia="zh-CN"/>
              </w:rPr>
              <w:t>12.0</w:t>
            </w:r>
            <w:r>
              <w:rPr>
                <w:rFonts w:hint="eastAsia"/>
                <w:vertAlign w:val="baseline"/>
                <w:lang w:eastAsia="zh-CN"/>
              </w:rPr>
              <w:t>”改为“≤</w:t>
            </w:r>
            <w:r>
              <w:rPr>
                <w:rFonts w:hint="eastAsia"/>
                <w:vertAlign w:val="baseline"/>
                <w:lang w:val="en-US" w:eastAsia="zh-CN"/>
              </w:rPr>
              <w:t>10.0</w:t>
            </w:r>
            <w:r>
              <w:rPr>
                <w:rFonts w:hint="eastAsia"/>
                <w:vertAlign w:val="baseline"/>
                <w:lang w:eastAsia="zh-CN"/>
              </w:rPr>
              <w:t>”</w:t>
            </w:r>
          </w:p>
        </w:tc>
        <w:tc>
          <w:tcPr>
            <w:tcW w:w="141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广州星业</w:t>
            </w:r>
            <w:r>
              <w:rPr>
                <w:rFonts w:hint="eastAsia"/>
              </w:rPr>
              <w:t>科技股份有限公司</w:t>
            </w:r>
          </w:p>
        </w:tc>
        <w:tc>
          <w:tcPr>
            <w:tcW w:w="307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不采纳，根据行业上不同生产厂家的技术水平及客户使用要求，</w:t>
            </w:r>
            <w:r>
              <w:rPr>
                <w:rFonts w:hint="eastAsia"/>
                <w:vertAlign w:val="baseline"/>
                <w:lang w:val="en-US" w:eastAsia="zh-CN"/>
              </w:rPr>
              <w:t>CMEA-B的胺值保持12mgKOH/g比较合理。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1308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 表1</w:t>
            </w:r>
          </w:p>
        </w:tc>
        <w:tc>
          <w:tcPr>
            <w:tcW w:w="216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B型</w:t>
            </w:r>
            <w:r>
              <w:rPr>
                <w:rFonts w:hint="eastAsia"/>
                <w:vertAlign w:val="baseline"/>
                <w:lang w:eastAsia="zh-CN"/>
              </w:rPr>
              <w:t>胺值范围“≤</w:t>
            </w:r>
            <w:r>
              <w:rPr>
                <w:rFonts w:hint="eastAsia"/>
                <w:vertAlign w:val="baseline"/>
                <w:lang w:val="en-US" w:eastAsia="zh-CN"/>
              </w:rPr>
              <w:t>12.0mgKOH/g</w:t>
            </w:r>
            <w:r>
              <w:rPr>
                <w:rFonts w:hint="eastAsia"/>
                <w:vertAlign w:val="baseline"/>
                <w:lang w:eastAsia="zh-CN"/>
              </w:rPr>
              <w:t>”改为“≤</w:t>
            </w:r>
            <w:r>
              <w:rPr>
                <w:rFonts w:hint="eastAsia"/>
                <w:vertAlign w:val="baseline"/>
                <w:lang w:val="en-US" w:eastAsia="zh-CN"/>
              </w:rPr>
              <w:t>20.0mgKOH/g</w:t>
            </w:r>
            <w:r>
              <w:rPr>
                <w:rFonts w:hint="eastAsia"/>
                <w:vertAlign w:val="baseline"/>
                <w:lang w:eastAsia="zh-CN"/>
              </w:rPr>
              <w:t>”</w:t>
            </w:r>
          </w:p>
        </w:tc>
        <w:tc>
          <w:tcPr>
            <w:tcW w:w="141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</w:rPr>
              <w:t>赞宇科技集团股份有限公司</w:t>
            </w:r>
          </w:p>
        </w:tc>
        <w:tc>
          <w:tcPr>
            <w:tcW w:w="307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不采纳，根据行业上不同生产厂家的技术水平及客户使用要求，</w:t>
            </w:r>
            <w:r>
              <w:rPr>
                <w:rFonts w:hint="eastAsia"/>
                <w:vertAlign w:val="baseline"/>
                <w:lang w:val="en-US" w:eastAsia="zh-CN"/>
              </w:rPr>
              <w:t>CMEA-B的胺值保持12mgKOH/g比较合理。小于20mgKOH/g，范围太宽了。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1308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216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增加甲醇含量</w:t>
            </w:r>
          </w:p>
        </w:tc>
        <w:tc>
          <w:tcPr>
            <w:tcW w:w="141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纳爱斯集团有限公司</w:t>
            </w:r>
          </w:p>
        </w:tc>
        <w:tc>
          <w:tcPr>
            <w:tcW w:w="3077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1308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216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建议修改</w:t>
            </w:r>
            <w:r>
              <w:rPr>
                <w:rFonts w:hint="eastAsia"/>
                <w:vertAlign w:val="baseline"/>
                <w:lang w:val="en-US" w:eastAsia="zh-CN"/>
              </w:rPr>
              <w:t>B型的酰胺含量</w:t>
            </w: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≥</w:t>
            </w:r>
            <w:r>
              <w:rPr>
                <w:rFonts w:hint="eastAsia"/>
                <w:vertAlign w:val="baseline"/>
                <w:lang w:val="en-US" w:eastAsia="zh-CN"/>
              </w:rPr>
              <w:t>80%</w:t>
            </w:r>
          </w:p>
        </w:tc>
        <w:tc>
          <w:tcPr>
            <w:tcW w:w="141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ascii="宋体" w:hAnsi="宋体"/>
                <w:sz w:val="24"/>
              </w:rPr>
              <w:t>北京绿伞化学股份有限公司</w:t>
            </w:r>
          </w:p>
        </w:tc>
        <w:tc>
          <w:tcPr>
            <w:tcW w:w="3077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不采纳；因同行样品检测数据有刚达到</w:t>
            </w:r>
            <w:r>
              <w:rPr>
                <w:rFonts w:hint="eastAsia"/>
                <w:vertAlign w:val="baseline"/>
                <w:lang w:val="en-US" w:eastAsia="zh-CN"/>
              </w:rPr>
              <w:t>80%或低于80%的，根据行业上CMEA-B的酰胺检测结果及质量控制要求，CMEA-B的酰胺含量</w:t>
            </w: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vertAlign w:val="baseline"/>
                <w:lang w:val="en-US" w:eastAsia="zh-CN"/>
              </w:rPr>
              <w:t>78</w:t>
            </w:r>
            <w:r>
              <w:rPr>
                <w:rFonts w:hint="eastAsia"/>
                <w:vertAlign w:val="baseline"/>
                <w:lang w:val="en-US" w:eastAsia="zh-CN"/>
              </w:rPr>
              <w:t>%比较合理。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1308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Cs w:val="21"/>
              </w:rPr>
              <w:t>5.3.1 试剂b</w:t>
            </w:r>
            <w:r>
              <w:rPr>
                <w:rFonts w:asciiTheme="minorEastAsia" w:hAnsiTheme="minorEastAsia" w:eastAsiaTheme="minorEastAsia"/>
                <w:kern w:val="0"/>
                <w:szCs w:val="21"/>
              </w:rPr>
              <w:t>)</w:t>
            </w:r>
          </w:p>
        </w:tc>
        <w:tc>
          <w:tcPr>
            <w:tcW w:w="216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“浑均”改为“混匀”</w:t>
            </w:r>
          </w:p>
        </w:tc>
        <w:tc>
          <w:tcPr>
            <w:tcW w:w="141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ascii="宋体" w:hAnsi="宋体"/>
                <w:sz w:val="24"/>
              </w:rPr>
              <w:t>北京绿伞化学股份有限公司</w:t>
            </w:r>
          </w:p>
        </w:tc>
        <w:tc>
          <w:tcPr>
            <w:tcW w:w="3077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1308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5.3.3</w:t>
            </w:r>
          </w:p>
        </w:tc>
        <w:tc>
          <w:tcPr>
            <w:tcW w:w="216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  <w:highlight w:val="yellow"/>
              </w:rPr>
              <w:t>秤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取1.0g样品改为“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highlight w:val="yellow"/>
              </w:rPr>
              <w:t>称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取1.0g样品”“</w:t>
            </w:r>
            <w:r>
              <w:rPr>
                <w:rFonts w:asciiTheme="minorEastAsia" w:hAnsiTheme="minorEastAsia" w:eastAsiaTheme="minorEastAsia"/>
                <w:szCs w:val="21"/>
              </w:rPr>
              <w:t>ml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”</w:t>
            </w:r>
            <w:r>
              <w:rPr>
                <w:rFonts w:asciiTheme="minorEastAsia" w:hAnsiTheme="minorEastAsia" w:eastAsiaTheme="minorEastAsia"/>
                <w:szCs w:val="21"/>
              </w:rPr>
              <w:t>改为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“m</w:t>
            </w:r>
            <w:r>
              <w:rPr>
                <w:rFonts w:asciiTheme="minorEastAsia" w:hAnsiTheme="minorEastAsia" w:eastAsiaTheme="minorEastAsia"/>
                <w:szCs w:val="21"/>
              </w:rPr>
              <w:t>L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”，</w:t>
            </w:r>
          </w:p>
        </w:tc>
        <w:tc>
          <w:tcPr>
            <w:tcW w:w="141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ascii="宋体" w:hAnsi="宋体"/>
                <w:sz w:val="24"/>
              </w:rPr>
              <w:t>北京绿伞化学股份有限公司</w:t>
            </w:r>
          </w:p>
        </w:tc>
        <w:tc>
          <w:tcPr>
            <w:tcW w:w="3077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1308" w:type="dxa"/>
            <w:vAlign w:val="top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5.3.2.a </w:t>
            </w:r>
          </w:p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5.3.4</w:t>
            </w:r>
          </w:p>
        </w:tc>
        <w:tc>
          <w:tcPr>
            <w:tcW w:w="216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5.3.2.a 精密度0.01pH与“...绝对误差不应超过0.3pH”，前后单位不一，表述不规范</w:t>
            </w:r>
          </w:p>
        </w:tc>
        <w:tc>
          <w:tcPr>
            <w:tcW w:w="141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07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采纳，将绝对误差</w:t>
            </w:r>
            <w:r>
              <w:rPr>
                <w:rFonts w:hint="eastAsia"/>
                <w:vertAlign w:val="baseline"/>
                <w:lang w:val="en-US" w:eastAsia="zh-CN"/>
              </w:rPr>
              <w:t>0.3pH修改为0.30pH。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1308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5.3.3</w:t>
            </w:r>
          </w:p>
        </w:tc>
        <w:tc>
          <w:tcPr>
            <w:tcW w:w="216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“称取</w:t>
            </w:r>
            <w:r>
              <w:rPr>
                <w:rFonts w:hint="eastAsia"/>
                <w:vertAlign w:val="baseline"/>
                <w:lang w:val="en-US" w:eastAsia="zh-CN"/>
              </w:rPr>
              <w:t>1.0g样品于150ml的烧杯中...</w:t>
            </w:r>
            <w:r>
              <w:rPr>
                <w:rFonts w:hint="eastAsia"/>
                <w:vertAlign w:val="baseline"/>
                <w:lang w:eastAsia="zh-CN"/>
              </w:rPr>
              <w:t>”应加上精确度，改为“称取</w:t>
            </w:r>
            <w:r>
              <w:rPr>
                <w:rFonts w:hint="eastAsia"/>
                <w:vertAlign w:val="baseline"/>
                <w:lang w:val="en-US" w:eastAsia="zh-CN"/>
              </w:rPr>
              <w:t>1.0g样品（精确至0.1g）于150ml的烧杯中...</w:t>
            </w:r>
            <w:r>
              <w:rPr>
                <w:rFonts w:hint="eastAsia"/>
                <w:vertAlign w:val="baseline"/>
                <w:lang w:eastAsia="zh-CN"/>
              </w:rPr>
              <w:t>”</w:t>
            </w:r>
          </w:p>
        </w:tc>
        <w:tc>
          <w:tcPr>
            <w:tcW w:w="141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广州立白企业集团有限公司</w:t>
            </w:r>
          </w:p>
        </w:tc>
        <w:tc>
          <w:tcPr>
            <w:tcW w:w="3077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</w:t>
            </w:r>
          </w:p>
        </w:tc>
        <w:tc>
          <w:tcPr>
            <w:tcW w:w="1308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</w:t>
            </w:r>
          </w:p>
        </w:tc>
        <w:tc>
          <w:tcPr>
            <w:tcW w:w="216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“</w:t>
            </w:r>
            <w:r>
              <w:rPr>
                <w:rFonts w:hint="eastAsia"/>
                <w:vertAlign w:val="baseline"/>
                <w:lang w:val="en-US" w:eastAsia="zh-CN"/>
              </w:rPr>
              <w:t>...加热溶解，趁热...</w:t>
            </w:r>
            <w:r>
              <w:rPr>
                <w:rFonts w:hint="eastAsia"/>
                <w:vertAlign w:val="baseline"/>
                <w:lang w:eastAsia="zh-CN"/>
              </w:rPr>
              <w:t>”应规定温度</w:t>
            </w:r>
          </w:p>
        </w:tc>
        <w:tc>
          <w:tcPr>
            <w:tcW w:w="141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ascii="宋体" w:hAnsi="宋体"/>
                <w:sz w:val="24"/>
              </w:rPr>
              <w:t>北京绿伞化学股份有限公司</w:t>
            </w:r>
          </w:p>
        </w:tc>
        <w:tc>
          <w:tcPr>
            <w:tcW w:w="3077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</w:t>
            </w:r>
          </w:p>
        </w:tc>
        <w:tc>
          <w:tcPr>
            <w:tcW w:w="1308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5.4.2</w:t>
            </w:r>
          </w:p>
        </w:tc>
        <w:tc>
          <w:tcPr>
            <w:tcW w:w="216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“</w:t>
            </w:r>
            <w:r>
              <w:rPr>
                <w:rFonts w:asciiTheme="minorEastAsia" w:hAnsiTheme="minorEastAsia" w:eastAsiaTheme="minorEastAsia"/>
                <w:szCs w:val="21"/>
              </w:rPr>
              <w:t>试剂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”改为“</w:t>
            </w:r>
            <w:r>
              <w:rPr>
                <w:rFonts w:asciiTheme="minorEastAsia" w:hAnsiTheme="minorEastAsia" w:eastAsiaTheme="minorEastAsia"/>
                <w:szCs w:val="21"/>
              </w:rPr>
              <w:t>试剂与仪器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”增加“分析天平、酸式滴定管”、锥形瓶</w:t>
            </w:r>
          </w:p>
        </w:tc>
        <w:tc>
          <w:tcPr>
            <w:tcW w:w="141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ascii="宋体" w:hAnsi="宋体"/>
                <w:sz w:val="24"/>
              </w:rPr>
              <w:t>北京绿伞化学股份有限公司</w:t>
            </w:r>
          </w:p>
        </w:tc>
        <w:tc>
          <w:tcPr>
            <w:tcW w:w="3077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部分采纳，增加“仪器”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</w:t>
            </w:r>
          </w:p>
        </w:tc>
        <w:tc>
          <w:tcPr>
            <w:tcW w:w="1308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5.5</w:t>
            </w:r>
          </w:p>
        </w:tc>
        <w:tc>
          <w:tcPr>
            <w:tcW w:w="216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“残余胺的测定”应改为“残余胺含量和胺值的测定”；残余胺修改为游离胺</w:t>
            </w:r>
          </w:p>
        </w:tc>
        <w:tc>
          <w:tcPr>
            <w:tcW w:w="141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湖南丽臣</w:t>
            </w:r>
            <w:r>
              <w:rPr>
                <w:rFonts w:hint="eastAsia"/>
              </w:rPr>
              <w:t>实业股份有限公司</w:t>
            </w:r>
          </w:p>
        </w:tc>
        <w:tc>
          <w:tcPr>
            <w:tcW w:w="3077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</w:t>
            </w:r>
          </w:p>
        </w:tc>
        <w:tc>
          <w:tcPr>
            <w:tcW w:w="1308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5.5.1</w:t>
            </w:r>
          </w:p>
        </w:tc>
        <w:tc>
          <w:tcPr>
            <w:tcW w:w="216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方法提要只是描述了胺值的定义</w:t>
            </w:r>
          </w:p>
        </w:tc>
        <w:tc>
          <w:tcPr>
            <w:tcW w:w="141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307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采纳，将胺值的定义移到第</w:t>
            </w:r>
            <w:r>
              <w:rPr>
                <w:rFonts w:hint="eastAsia"/>
                <w:vertAlign w:val="baseline"/>
                <w:lang w:val="en-US" w:eastAsia="zh-CN"/>
              </w:rPr>
              <w:t>3章术语和定义中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21</w:t>
            </w:r>
          </w:p>
        </w:tc>
        <w:tc>
          <w:tcPr>
            <w:tcW w:w="1308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全文</w:t>
            </w:r>
          </w:p>
        </w:tc>
        <w:tc>
          <w:tcPr>
            <w:tcW w:w="216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文件中的标准溶液及试剂溶液应增加配制过程</w:t>
            </w:r>
          </w:p>
        </w:tc>
        <w:tc>
          <w:tcPr>
            <w:tcW w:w="141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ascii="宋体" w:hAnsi="宋体"/>
                <w:sz w:val="24"/>
              </w:rPr>
              <w:t>北京绿伞化学股份有限公司</w:t>
            </w:r>
          </w:p>
        </w:tc>
        <w:tc>
          <w:tcPr>
            <w:tcW w:w="307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采纳，增加</w:t>
            </w:r>
            <w:r>
              <w:rPr>
                <w:rFonts w:hint="eastAsia"/>
                <w:vertAlign w:val="baseline"/>
                <w:lang w:val="en-US" w:eastAsia="zh-CN"/>
              </w:rPr>
              <w:t>5.1试验要求，在试验要求中说明标准溶液及试剂溶液的配置过程。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22</w:t>
            </w:r>
          </w:p>
        </w:tc>
        <w:tc>
          <w:tcPr>
            <w:tcW w:w="13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5.5.3</w:t>
            </w:r>
          </w:p>
        </w:tc>
        <w:tc>
          <w:tcPr>
            <w:tcW w:w="2166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“趁热以</w:t>
            </w:r>
            <w:r>
              <w:rPr>
                <w:rFonts w:hint="eastAsia"/>
                <w:vertAlign w:val="baseline"/>
                <w:lang w:val="en-US" w:eastAsia="zh-CN"/>
              </w:rPr>
              <w:t>0.1mol/L盐酸...</w:t>
            </w:r>
            <w:r>
              <w:rPr>
                <w:rFonts w:hint="eastAsia"/>
                <w:vertAlign w:val="baseline"/>
                <w:lang w:eastAsia="zh-CN"/>
              </w:rPr>
              <w:t>”应规定温度</w:t>
            </w:r>
          </w:p>
        </w:tc>
        <w:tc>
          <w:tcPr>
            <w:tcW w:w="141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077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  <w:vAlign w:val="top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23</w:t>
            </w:r>
          </w:p>
        </w:tc>
        <w:tc>
          <w:tcPr>
            <w:tcW w:w="13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5.5.4.2/5.7.2</w:t>
            </w:r>
          </w:p>
        </w:tc>
        <w:tc>
          <w:tcPr>
            <w:tcW w:w="2166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“</w:t>
            </w:r>
            <w:r>
              <w:rPr>
                <w:rFonts w:asciiTheme="minorEastAsia" w:hAnsiTheme="minorEastAsia" w:eastAsiaTheme="minorEastAsia"/>
                <w:szCs w:val="21"/>
              </w:rPr>
              <w:t>ml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”</w:t>
            </w:r>
            <w:r>
              <w:rPr>
                <w:rFonts w:asciiTheme="minorEastAsia" w:hAnsiTheme="minorEastAsia" w:eastAsiaTheme="minorEastAsia"/>
                <w:szCs w:val="21"/>
              </w:rPr>
              <w:t>改为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“m</w:t>
            </w:r>
            <w:r>
              <w:rPr>
                <w:rFonts w:asciiTheme="minorEastAsia" w:hAnsiTheme="minorEastAsia" w:eastAsiaTheme="minorEastAsia"/>
                <w:szCs w:val="21"/>
              </w:rPr>
              <w:t>L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”，</w:t>
            </w:r>
          </w:p>
        </w:tc>
        <w:tc>
          <w:tcPr>
            <w:tcW w:w="141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ascii="宋体" w:hAnsi="宋体"/>
                <w:sz w:val="24"/>
              </w:rPr>
              <w:t>北京绿伞化学股份有限公司</w:t>
            </w:r>
          </w:p>
        </w:tc>
        <w:tc>
          <w:tcPr>
            <w:tcW w:w="3077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24</w:t>
            </w:r>
          </w:p>
        </w:tc>
        <w:tc>
          <w:tcPr>
            <w:tcW w:w="13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5.6.2</w:t>
            </w:r>
          </w:p>
        </w:tc>
        <w:tc>
          <w:tcPr>
            <w:tcW w:w="2166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“要玻璃棒轻轻压碎，用毛细管</w:t>
            </w:r>
            <w:r>
              <w:rPr>
                <w:rFonts w:hint="eastAsia"/>
                <w:vertAlign w:val="baseline"/>
                <w:lang w:val="en-US" w:eastAsia="zh-CN"/>
              </w:rPr>
              <w:t>...再用不锈钢丝将样品...</w:t>
            </w:r>
            <w:r>
              <w:rPr>
                <w:rFonts w:hint="eastAsia"/>
                <w:vertAlign w:val="baseline"/>
                <w:lang w:eastAsia="zh-CN"/>
              </w:rPr>
              <w:t>”修改为“用玻璃棒轻轻压碎，将毛细管</w:t>
            </w:r>
            <w:r>
              <w:rPr>
                <w:rFonts w:hint="eastAsia"/>
                <w:vertAlign w:val="baseline"/>
                <w:lang w:val="en-US" w:eastAsia="zh-CN"/>
              </w:rPr>
              <w:t>...再用不锈钢丝将样品...</w:t>
            </w:r>
            <w:r>
              <w:rPr>
                <w:rFonts w:hint="eastAsia"/>
                <w:vertAlign w:val="baseline"/>
                <w:lang w:eastAsia="zh-CN"/>
              </w:rPr>
              <w:t>”</w:t>
            </w:r>
          </w:p>
        </w:tc>
        <w:tc>
          <w:tcPr>
            <w:tcW w:w="141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077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采纳。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25</w:t>
            </w:r>
          </w:p>
        </w:tc>
        <w:tc>
          <w:tcPr>
            <w:tcW w:w="13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5.7</w:t>
            </w:r>
          </w:p>
        </w:tc>
        <w:tc>
          <w:tcPr>
            <w:tcW w:w="2166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“甲酯的测定”修改为“甲酯含量的测定”</w:t>
            </w:r>
          </w:p>
        </w:tc>
        <w:tc>
          <w:tcPr>
            <w:tcW w:w="141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077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26</w:t>
            </w:r>
          </w:p>
        </w:tc>
        <w:tc>
          <w:tcPr>
            <w:tcW w:w="13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5.7.1</w:t>
            </w:r>
          </w:p>
        </w:tc>
        <w:tc>
          <w:tcPr>
            <w:tcW w:w="2166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将“酯”修改为“甲酯”</w:t>
            </w:r>
          </w:p>
        </w:tc>
        <w:tc>
          <w:tcPr>
            <w:tcW w:w="141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077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27</w:t>
            </w:r>
          </w:p>
        </w:tc>
        <w:tc>
          <w:tcPr>
            <w:tcW w:w="13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5.7.2.a</w:t>
            </w:r>
          </w:p>
        </w:tc>
        <w:tc>
          <w:tcPr>
            <w:tcW w:w="2166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将“精度</w:t>
            </w:r>
            <w:r>
              <w:rPr>
                <w:rFonts w:hint="eastAsia"/>
                <w:vertAlign w:val="baseline"/>
                <w:lang w:val="en-US" w:eastAsia="zh-CN"/>
              </w:rPr>
              <w:t>0.2℃</w:t>
            </w:r>
            <w:r>
              <w:rPr>
                <w:rFonts w:hint="eastAsia"/>
                <w:vertAlign w:val="baseline"/>
                <w:lang w:eastAsia="zh-CN"/>
              </w:rPr>
              <w:t>”删除</w:t>
            </w:r>
          </w:p>
        </w:tc>
        <w:tc>
          <w:tcPr>
            <w:tcW w:w="141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077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28</w:t>
            </w:r>
          </w:p>
        </w:tc>
        <w:tc>
          <w:tcPr>
            <w:tcW w:w="13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5.5.4.2，5.7.4，5.9.3，5.10.2</w:t>
            </w:r>
          </w:p>
        </w:tc>
        <w:tc>
          <w:tcPr>
            <w:tcW w:w="216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将公式中的</w:t>
            </w:r>
            <w:r>
              <w:rPr>
                <w:rFonts w:hint="eastAsia"/>
                <w:vertAlign w:val="baseline"/>
                <w:lang w:val="en-US" w:eastAsia="zh-CN"/>
              </w:rPr>
              <w:t>100改为“100%”</w:t>
            </w:r>
          </w:p>
        </w:tc>
        <w:tc>
          <w:tcPr>
            <w:tcW w:w="141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07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采纳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29</w:t>
            </w:r>
          </w:p>
        </w:tc>
        <w:tc>
          <w:tcPr>
            <w:tcW w:w="13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</w:t>
            </w:r>
          </w:p>
        </w:tc>
        <w:tc>
          <w:tcPr>
            <w:tcW w:w="2166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“甘油的测定”修改为“甘油含量的测定”</w:t>
            </w:r>
          </w:p>
        </w:tc>
        <w:tc>
          <w:tcPr>
            <w:tcW w:w="141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上海和黄白猫有限公司</w:t>
            </w:r>
          </w:p>
        </w:tc>
        <w:tc>
          <w:tcPr>
            <w:tcW w:w="3077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</w:t>
            </w:r>
          </w:p>
        </w:tc>
        <w:tc>
          <w:tcPr>
            <w:tcW w:w="13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5.8.2</w:t>
            </w:r>
          </w:p>
        </w:tc>
        <w:tc>
          <w:tcPr>
            <w:tcW w:w="2166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“继续滴定至溶液为无色即为终点”改为“继续滴定至溶液由蓝色转为无色即为终点”</w:t>
            </w:r>
          </w:p>
        </w:tc>
        <w:tc>
          <w:tcPr>
            <w:tcW w:w="141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ascii="宋体" w:hAnsi="宋体"/>
                <w:sz w:val="24"/>
              </w:rPr>
              <w:t>北京绿伞化学股份有限公司</w:t>
            </w:r>
          </w:p>
        </w:tc>
        <w:tc>
          <w:tcPr>
            <w:tcW w:w="3077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31</w:t>
            </w:r>
          </w:p>
        </w:tc>
        <w:tc>
          <w:tcPr>
            <w:tcW w:w="13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5.9</w:t>
            </w:r>
          </w:p>
        </w:tc>
        <w:tc>
          <w:tcPr>
            <w:tcW w:w="2166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“水份及挥发物的测定”修改为“水份及挥发物含量的测定”</w:t>
            </w:r>
          </w:p>
        </w:tc>
        <w:tc>
          <w:tcPr>
            <w:tcW w:w="141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上海和黄白猫有限公司</w:t>
            </w:r>
          </w:p>
        </w:tc>
        <w:tc>
          <w:tcPr>
            <w:tcW w:w="3077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32</w:t>
            </w:r>
          </w:p>
        </w:tc>
        <w:tc>
          <w:tcPr>
            <w:tcW w:w="13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5.9.2</w:t>
            </w:r>
          </w:p>
        </w:tc>
        <w:tc>
          <w:tcPr>
            <w:tcW w:w="2166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水份</w:t>
            </w:r>
            <w:bookmarkStart w:id="0" w:name="_GoBack"/>
            <w:bookmarkEnd w:id="0"/>
            <w:r>
              <w:rPr>
                <w:rFonts w:hint="eastAsia"/>
                <w:vertAlign w:val="baseline"/>
                <w:lang w:eastAsia="zh-CN"/>
              </w:rPr>
              <w:t>及挥发物的测定方法中应明确是否开启鼓风</w:t>
            </w:r>
          </w:p>
        </w:tc>
        <w:tc>
          <w:tcPr>
            <w:tcW w:w="141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</w:rPr>
              <w:t>赞宇科技集团股份有限公司</w:t>
            </w:r>
          </w:p>
        </w:tc>
        <w:tc>
          <w:tcPr>
            <w:tcW w:w="3077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采纳。在水分及挥发物含量测定的测定过程中规定不开鼓风。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33</w:t>
            </w:r>
          </w:p>
        </w:tc>
        <w:tc>
          <w:tcPr>
            <w:tcW w:w="13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5.10</w:t>
            </w:r>
          </w:p>
        </w:tc>
        <w:tc>
          <w:tcPr>
            <w:tcW w:w="2166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“酰胺的测定”修改为“酰胺含量的测定”</w:t>
            </w:r>
          </w:p>
        </w:tc>
        <w:tc>
          <w:tcPr>
            <w:tcW w:w="141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上海和黄白猫有限公司</w:t>
            </w:r>
          </w:p>
        </w:tc>
        <w:tc>
          <w:tcPr>
            <w:tcW w:w="3077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34</w:t>
            </w:r>
          </w:p>
        </w:tc>
        <w:tc>
          <w:tcPr>
            <w:tcW w:w="13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5.10.1</w:t>
            </w:r>
          </w:p>
        </w:tc>
        <w:tc>
          <w:tcPr>
            <w:tcW w:w="216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与5.10.2中重复，可否删除</w:t>
            </w:r>
          </w:p>
        </w:tc>
        <w:tc>
          <w:tcPr>
            <w:tcW w:w="141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天津天智精细化工有限公司</w:t>
            </w:r>
          </w:p>
        </w:tc>
        <w:tc>
          <w:tcPr>
            <w:tcW w:w="307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采纳，删除</w:t>
            </w:r>
            <w:r>
              <w:rPr>
                <w:rFonts w:hint="eastAsia"/>
                <w:vertAlign w:val="baseline"/>
                <w:lang w:val="en-US" w:eastAsia="zh-CN"/>
              </w:rPr>
              <w:t>5.10.1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35</w:t>
            </w:r>
          </w:p>
        </w:tc>
        <w:tc>
          <w:tcPr>
            <w:tcW w:w="1308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5.10.2</w:t>
            </w:r>
          </w:p>
        </w:tc>
        <w:tc>
          <w:tcPr>
            <w:tcW w:w="216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“CMEA-A活性物的质量分数为X5”修改为“CMEA-A活性物的质量分数为X6”</w:t>
            </w:r>
          </w:p>
        </w:tc>
        <w:tc>
          <w:tcPr>
            <w:tcW w:w="141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天津天智精细化工有限公司</w:t>
            </w:r>
          </w:p>
        </w:tc>
        <w:tc>
          <w:tcPr>
            <w:tcW w:w="3077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36</w:t>
            </w:r>
          </w:p>
        </w:tc>
        <w:tc>
          <w:tcPr>
            <w:tcW w:w="13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</w:t>
            </w:r>
          </w:p>
        </w:tc>
        <w:tc>
          <w:tcPr>
            <w:tcW w:w="216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建议删除“收货单位如发现产品质量不符合。。。应在</w:t>
            </w:r>
            <w:r>
              <w:rPr>
                <w:rFonts w:hint="eastAsia"/>
                <w:vertAlign w:val="baseline"/>
                <w:lang w:val="en-US" w:eastAsia="zh-CN"/>
              </w:rPr>
              <w:t>15天内向生产厂家交涉。。。。。。”</w:t>
            </w:r>
          </w:p>
        </w:tc>
        <w:tc>
          <w:tcPr>
            <w:tcW w:w="141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纳爱斯集团有限公司</w:t>
            </w:r>
          </w:p>
        </w:tc>
        <w:tc>
          <w:tcPr>
            <w:tcW w:w="3077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37</w:t>
            </w:r>
          </w:p>
        </w:tc>
        <w:tc>
          <w:tcPr>
            <w:tcW w:w="13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7.1</w:t>
            </w:r>
          </w:p>
        </w:tc>
        <w:tc>
          <w:tcPr>
            <w:tcW w:w="2166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  <w:r>
              <w:rPr>
                <w:rFonts w:hint="eastAsia"/>
                <w:vertAlign w:val="baseline"/>
                <w:lang w:eastAsia="zh-CN"/>
              </w:rPr>
              <w:t>“产品名称、商标、类型、执行标准标号”修改为“产品名称、商标、型号、执行标准标号”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;c“净重量”应改为“净重”。 </w:t>
            </w:r>
          </w:p>
        </w:tc>
        <w:tc>
          <w:tcPr>
            <w:tcW w:w="141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</w:rPr>
              <w:t>赢创特种化学（上海）有限公司</w:t>
            </w:r>
            <w:r>
              <w:rPr>
                <w:rFonts w:hint="eastAsia"/>
                <w:vertAlign w:val="baseline"/>
                <w:lang w:eastAsia="zh-CN"/>
              </w:rPr>
              <w:t>；</w:t>
            </w:r>
            <w:r>
              <w:rPr>
                <w:rFonts w:ascii="宋体" w:hAnsi="宋体"/>
                <w:sz w:val="24"/>
              </w:rPr>
              <w:t>北京绿伞化学股份有限公司</w:t>
            </w:r>
          </w:p>
        </w:tc>
        <w:tc>
          <w:tcPr>
            <w:tcW w:w="3077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38</w:t>
            </w:r>
          </w:p>
        </w:tc>
        <w:tc>
          <w:tcPr>
            <w:tcW w:w="13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编制说明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 xml:space="preserve"> 的三章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主要试验（或验证）情况</w:t>
            </w:r>
          </w:p>
        </w:tc>
        <w:tc>
          <w:tcPr>
            <w:tcW w:w="2166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t>表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1和表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胺值改为游离胺含量的百分含量或者增加一列游离胺含量</w:t>
            </w:r>
          </w:p>
        </w:tc>
        <w:tc>
          <w:tcPr>
            <w:tcW w:w="1410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ascii="宋体" w:hAnsi="宋体"/>
                <w:sz w:val="24"/>
              </w:rPr>
              <w:t>北京绿伞化学股份有限公司</w:t>
            </w:r>
          </w:p>
        </w:tc>
        <w:tc>
          <w:tcPr>
            <w:tcW w:w="3077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采纳，在“技术指标中”及编制说明第三章中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>表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1和表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>2</w:t>
            </w:r>
            <w:r>
              <w:rPr>
                <w:rFonts w:hint="eastAsia" w:asciiTheme="minorEastAsia" w:hAnsiTheme="minorEastAsia"/>
                <w:bCs/>
                <w:szCs w:val="21"/>
                <w:lang w:eastAsia="zh-CN"/>
              </w:rPr>
              <w:t>增加游离胺的百分含量。</w:t>
            </w:r>
          </w:p>
        </w:tc>
      </w:tr>
    </w:tbl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1216C"/>
    <w:rsid w:val="09FB5177"/>
    <w:rsid w:val="11BD7564"/>
    <w:rsid w:val="27BF6DB7"/>
    <w:rsid w:val="2D173F30"/>
    <w:rsid w:val="45F477E0"/>
    <w:rsid w:val="64D20930"/>
    <w:rsid w:val="77D70E2C"/>
    <w:rsid w:val="7F532B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宋体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1114</Words>
  <Characters>1407</Characters>
  <Lines>0</Lines>
  <Paragraphs>0</Paragraphs>
  <TotalTime>158</TotalTime>
  <ScaleCrop>false</ScaleCrop>
  <LinksUpToDate>false</LinksUpToDate>
  <CharactersWithSpaces>1413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2022-03-23T12:25:48Z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DE0EE797D4904D68B6515AC9FBF9E03A</vt:lpwstr>
  </property>
</Properties>
</file>